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8F2D9" w14:textId="77777777" w:rsidR="00E412D9" w:rsidRDefault="00832DF6">
      <w:pPr>
        <w:pStyle w:val="Heading1"/>
        <w:spacing w:before="46" w:line="491" w:lineRule="auto"/>
        <w:ind w:left="2336" w:right="308" w:hanging="1114"/>
      </w:pPr>
      <w:r>
        <w:t>Amending Eligibility for the Senior Citizens Property Tax Exemption Introductory Local Law No. 1 of the year 2024.</w:t>
      </w:r>
    </w:p>
    <w:p w14:paraId="4B593C02" w14:textId="77777777" w:rsidR="00E412D9" w:rsidRDefault="00E412D9">
      <w:pPr>
        <w:pStyle w:val="BodyText"/>
        <w:spacing w:before="4"/>
        <w:rPr>
          <w:b/>
        </w:rPr>
      </w:pPr>
    </w:p>
    <w:p w14:paraId="395FF603" w14:textId="77777777" w:rsidR="00E412D9" w:rsidRDefault="00832DF6">
      <w:pPr>
        <w:pStyle w:val="BodyText"/>
        <w:spacing w:line="491" w:lineRule="auto"/>
        <w:ind w:left="100" w:right="308"/>
      </w:pPr>
      <w:r>
        <w:t>A local law entitled “Amending Eligibility for the Senior Citizens Property Tax Exemption”. Be it enacted by the Town Board of the Town of Clarkson as follows:</w:t>
      </w:r>
    </w:p>
    <w:p w14:paraId="316DB066" w14:textId="77777777" w:rsidR="00E412D9" w:rsidRDefault="00832DF6">
      <w:pPr>
        <w:pStyle w:val="Heading1"/>
        <w:tabs>
          <w:tab w:val="left" w:pos="1539"/>
        </w:tabs>
        <w:spacing w:before="6"/>
      </w:pPr>
      <w:r>
        <w:t>Section 1.</w:t>
      </w:r>
      <w:r>
        <w:tab/>
        <w:t>Amendment.</w:t>
      </w:r>
    </w:p>
    <w:p w14:paraId="581514B1" w14:textId="77777777" w:rsidR="00E412D9" w:rsidRDefault="00E412D9">
      <w:pPr>
        <w:pStyle w:val="BodyText"/>
        <w:spacing w:before="3"/>
        <w:rPr>
          <w:b/>
          <w:sz w:val="25"/>
        </w:rPr>
      </w:pPr>
    </w:p>
    <w:p w14:paraId="3BC7A9C3" w14:textId="77777777" w:rsidR="00E412D9" w:rsidRDefault="00832DF6">
      <w:pPr>
        <w:pStyle w:val="BodyText"/>
        <w:spacing w:line="491" w:lineRule="auto"/>
        <w:ind w:left="100" w:right="308"/>
      </w:pPr>
      <w:r>
        <w:t xml:space="preserve">Chapter 122, Article </w:t>
      </w:r>
      <w:r>
        <w:rPr>
          <w:spacing w:val="-5"/>
        </w:rPr>
        <w:t xml:space="preserve">I, </w:t>
      </w:r>
      <w:r>
        <w:t xml:space="preserve">of the Code of the Town of Clarkson is amended to read as </w:t>
      </w:r>
      <w:r>
        <w:rPr>
          <w:spacing w:val="-3"/>
        </w:rPr>
        <w:t xml:space="preserve">follows: </w:t>
      </w:r>
      <w:r>
        <w:t xml:space="preserve">Article </w:t>
      </w:r>
      <w:r>
        <w:rPr>
          <w:spacing w:val="-4"/>
        </w:rPr>
        <w:t>I.</w:t>
      </w:r>
      <w:r>
        <w:rPr>
          <w:spacing w:val="52"/>
        </w:rPr>
        <w:t xml:space="preserve"> </w:t>
      </w:r>
      <w:r>
        <w:t>Senior Citizens Tax Exemption</w:t>
      </w:r>
    </w:p>
    <w:p w14:paraId="75C8610C" w14:textId="77777777" w:rsidR="00E412D9" w:rsidRDefault="00832DF6">
      <w:pPr>
        <w:pStyle w:val="BodyText"/>
        <w:tabs>
          <w:tab w:val="left" w:pos="1199"/>
        </w:tabs>
        <w:spacing w:before="1"/>
        <w:ind w:left="100"/>
      </w:pPr>
      <w:r>
        <w:t>§ 122-</w:t>
      </w:r>
      <w:r>
        <w:rPr>
          <w:u w:val="single"/>
        </w:rPr>
        <w:t xml:space="preserve"> </w:t>
      </w:r>
      <w:r>
        <w:rPr>
          <w:u w:val="single"/>
        </w:rPr>
        <w:tab/>
      </w:r>
      <w:r>
        <w:t>. Exemption</w:t>
      </w:r>
      <w:r>
        <w:rPr>
          <w:spacing w:val="-1"/>
        </w:rPr>
        <w:t xml:space="preserve"> </w:t>
      </w:r>
      <w:r>
        <w:t>granted.</w:t>
      </w:r>
    </w:p>
    <w:p w14:paraId="234006F1" w14:textId="77777777" w:rsidR="00E412D9" w:rsidRDefault="00E412D9">
      <w:pPr>
        <w:pStyle w:val="BodyText"/>
        <w:spacing w:before="3"/>
        <w:rPr>
          <w:sz w:val="25"/>
        </w:rPr>
      </w:pPr>
    </w:p>
    <w:p w14:paraId="6A570F82" w14:textId="77777777" w:rsidR="00E412D9" w:rsidRDefault="00832DF6">
      <w:pPr>
        <w:pStyle w:val="ListParagraph"/>
        <w:numPr>
          <w:ilvl w:val="0"/>
          <w:numId w:val="2"/>
        </w:numPr>
        <w:tabs>
          <w:tab w:val="left" w:pos="819"/>
          <w:tab w:val="left" w:pos="820"/>
        </w:tabs>
        <w:spacing w:line="247" w:lineRule="auto"/>
        <w:ind w:right="202"/>
        <w:rPr>
          <w:sz w:val="24"/>
        </w:rPr>
      </w:pPr>
      <w:r>
        <w:rPr>
          <w:sz w:val="24"/>
        </w:rPr>
        <w:t xml:space="preserve">Pursuant to the authority granted under Chapter 109 of the </w:t>
      </w:r>
      <w:r>
        <w:rPr>
          <w:spacing w:val="-3"/>
          <w:sz w:val="24"/>
        </w:rPr>
        <w:t xml:space="preserve">Laws </w:t>
      </w:r>
      <w:r>
        <w:rPr>
          <w:sz w:val="24"/>
        </w:rPr>
        <w:t>of 1979 of the State of New York, which chapter amends Paragraph (a) of Subdivision 3 of § 467 of the Real Property</w:t>
      </w:r>
      <w:r>
        <w:rPr>
          <w:spacing w:val="-11"/>
          <w:sz w:val="24"/>
        </w:rPr>
        <w:t xml:space="preserve"> </w:t>
      </w:r>
      <w:r>
        <w:rPr>
          <w:sz w:val="24"/>
        </w:rPr>
        <w:t>Tax Law,</w:t>
      </w:r>
      <w:r>
        <w:rPr>
          <w:spacing w:val="-1"/>
          <w:sz w:val="24"/>
        </w:rPr>
        <w:t xml:space="preserve"> </w:t>
      </w:r>
      <w:r>
        <w:rPr>
          <w:sz w:val="24"/>
        </w:rPr>
        <w:t>real</w:t>
      </w:r>
      <w:r>
        <w:rPr>
          <w:spacing w:val="-2"/>
          <w:sz w:val="24"/>
        </w:rPr>
        <w:t xml:space="preserve"> </w:t>
      </w:r>
      <w:r>
        <w:rPr>
          <w:sz w:val="24"/>
        </w:rPr>
        <w:t>property</w:t>
      </w:r>
      <w:r>
        <w:rPr>
          <w:spacing w:val="-14"/>
          <w:sz w:val="24"/>
        </w:rPr>
        <w:t xml:space="preserve"> </w:t>
      </w:r>
      <w:r>
        <w:rPr>
          <w:sz w:val="24"/>
        </w:rPr>
        <w:t>of</w:t>
      </w:r>
      <w:r>
        <w:rPr>
          <w:spacing w:val="-1"/>
          <w:sz w:val="24"/>
        </w:rPr>
        <w:t xml:space="preserve"> </w:t>
      </w:r>
      <w:r>
        <w:rPr>
          <w:sz w:val="24"/>
        </w:rPr>
        <w:t>the</w:t>
      </w:r>
      <w:r>
        <w:rPr>
          <w:spacing w:val="-1"/>
          <w:sz w:val="24"/>
        </w:rPr>
        <w:t xml:space="preserve"> </w:t>
      </w:r>
      <w:r>
        <w:rPr>
          <w:sz w:val="24"/>
        </w:rPr>
        <w:t>Town</w:t>
      </w:r>
      <w:r>
        <w:rPr>
          <w:spacing w:val="-2"/>
          <w:sz w:val="24"/>
        </w:rPr>
        <w:t xml:space="preserve"> </w:t>
      </w:r>
      <w:r>
        <w:rPr>
          <w:sz w:val="24"/>
        </w:rPr>
        <w:t>of</w:t>
      </w:r>
      <w:r>
        <w:rPr>
          <w:spacing w:val="-1"/>
          <w:sz w:val="24"/>
        </w:rPr>
        <w:t xml:space="preserve"> </w:t>
      </w:r>
      <w:r>
        <w:rPr>
          <w:sz w:val="24"/>
        </w:rPr>
        <w:t>Clarkson</w:t>
      </w:r>
      <w:r>
        <w:rPr>
          <w:spacing w:val="-2"/>
          <w:sz w:val="24"/>
        </w:rPr>
        <w:t xml:space="preserve"> </w:t>
      </w:r>
      <w:r>
        <w:rPr>
          <w:sz w:val="24"/>
        </w:rPr>
        <w:t>owned</w:t>
      </w:r>
      <w:r>
        <w:rPr>
          <w:spacing w:val="-1"/>
          <w:sz w:val="24"/>
        </w:rPr>
        <w:t xml:space="preserve"> </w:t>
      </w:r>
      <w:r>
        <w:rPr>
          <w:sz w:val="24"/>
        </w:rPr>
        <w:t>by</w:t>
      </w:r>
      <w:r>
        <w:rPr>
          <w:spacing w:val="-13"/>
          <w:sz w:val="24"/>
        </w:rPr>
        <w:t xml:space="preserve"> </w:t>
      </w:r>
      <w:r>
        <w:rPr>
          <w:sz w:val="24"/>
        </w:rPr>
        <w:t>one</w:t>
      </w:r>
      <w:r>
        <w:rPr>
          <w:spacing w:val="-1"/>
          <w:sz w:val="24"/>
        </w:rPr>
        <w:t xml:space="preserve"> </w:t>
      </w:r>
      <w:r>
        <w:rPr>
          <w:sz w:val="24"/>
        </w:rPr>
        <w:t>or</w:t>
      </w:r>
      <w:r>
        <w:rPr>
          <w:spacing w:val="-2"/>
          <w:sz w:val="24"/>
        </w:rPr>
        <w:t xml:space="preserve"> </w:t>
      </w:r>
      <w:r>
        <w:rPr>
          <w:sz w:val="24"/>
        </w:rPr>
        <w:t>more</w:t>
      </w:r>
      <w:r>
        <w:rPr>
          <w:spacing w:val="-1"/>
          <w:sz w:val="24"/>
        </w:rPr>
        <w:t xml:space="preserve"> </w:t>
      </w:r>
      <w:r>
        <w:rPr>
          <w:sz w:val="24"/>
        </w:rPr>
        <w:t xml:space="preserve">persons, each of whom is 65 </w:t>
      </w:r>
      <w:r>
        <w:rPr>
          <w:spacing w:val="-3"/>
          <w:sz w:val="24"/>
        </w:rPr>
        <w:t xml:space="preserve">years </w:t>
      </w:r>
      <w:r>
        <w:rPr>
          <w:sz w:val="24"/>
        </w:rPr>
        <w:t xml:space="preserve">of </w:t>
      </w:r>
      <w:r>
        <w:rPr>
          <w:spacing w:val="-3"/>
          <w:sz w:val="24"/>
        </w:rPr>
        <w:t xml:space="preserve">age </w:t>
      </w:r>
      <w:r>
        <w:rPr>
          <w:sz w:val="24"/>
        </w:rPr>
        <w:t xml:space="preserve">or over, or real property owned by those who are married, one of whom is 65 </w:t>
      </w:r>
      <w:r>
        <w:rPr>
          <w:spacing w:val="-3"/>
          <w:sz w:val="24"/>
        </w:rPr>
        <w:t xml:space="preserve">years </w:t>
      </w:r>
      <w:r>
        <w:rPr>
          <w:sz w:val="24"/>
        </w:rPr>
        <w:t xml:space="preserve">of </w:t>
      </w:r>
      <w:r>
        <w:rPr>
          <w:spacing w:val="-3"/>
          <w:sz w:val="24"/>
        </w:rPr>
        <w:t xml:space="preserve">age </w:t>
      </w:r>
      <w:r>
        <w:rPr>
          <w:sz w:val="24"/>
        </w:rPr>
        <w:t xml:space="preserve">or over, shall be exempted from taxation by the Town of Clarkson to the extent of 50% of the assessed valuation thereof. The maximum income for </w:t>
      </w:r>
      <w:proofErr w:type="gramStart"/>
      <w:r>
        <w:rPr>
          <w:sz w:val="24"/>
        </w:rPr>
        <w:t>purposes</w:t>
      </w:r>
      <w:proofErr w:type="gramEnd"/>
      <w:r>
        <w:rPr>
          <w:sz w:val="24"/>
        </w:rPr>
        <w:t xml:space="preserve"> of the fifty-percent exemption shall be equal to</w:t>
      </w:r>
      <w:r>
        <w:rPr>
          <w:spacing w:val="-6"/>
          <w:sz w:val="24"/>
        </w:rPr>
        <w:t xml:space="preserve"> </w:t>
      </w:r>
      <w:r>
        <w:rPr>
          <w:sz w:val="24"/>
        </w:rPr>
        <w:t>$40,000.</w:t>
      </w:r>
    </w:p>
    <w:p w14:paraId="28FAE4C4" w14:textId="77777777" w:rsidR="00E412D9" w:rsidRDefault="00E412D9">
      <w:pPr>
        <w:pStyle w:val="BodyText"/>
      </w:pPr>
    </w:p>
    <w:p w14:paraId="3C26F451" w14:textId="77777777" w:rsidR="00E412D9" w:rsidRDefault="00832DF6">
      <w:pPr>
        <w:pStyle w:val="ListParagraph"/>
        <w:numPr>
          <w:ilvl w:val="0"/>
          <w:numId w:val="2"/>
        </w:numPr>
        <w:tabs>
          <w:tab w:val="left" w:pos="818"/>
          <w:tab w:val="left" w:pos="819"/>
        </w:tabs>
        <w:spacing w:line="247" w:lineRule="auto"/>
        <w:ind w:right="284"/>
        <w:rPr>
          <w:sz w:val="24"/>
        </w:rPr>
      </w:pPr>
      <w:r>
        <w:rPr>
          <w:sz w:val="24"/>
        </w:rPr>
        <w:t xml:space="preserve">The Town of Clarkson has the further option of giving exemptions of less than 50% to persons </w:t>
      </w:r>
      <w:proofErr w:type="gramStart"/>
      <w:r>
        <w:rPr>
          <w:sz w:val="24"/>
        </w:rPr>
        <w:t>age</w:t>
      </w:r>
      <w:proofErr w:type="gramEnd"/>
      <w:r>
        <w:rPr>
          <w:sz w:val="24"/>
        </w:rPr>
        <w:t xml:space="preserve"> 65 or over whose incomes are more than $40,000. Under this option, </w:t>
      </w:r>
      <w:r>
        <w:rPr>
          <w:spacing w:val="-3"/>
          <w:sz w:val="24"/>
        </w:rPr>
        <w:t xml:space="preserve">called </w:t>
      </w:r>
      <w:r>
        <w:rPr>
          <w:sz w:val="24"/>
        </w:rPr>
        <w:t xml:space="preserve">the "sliding-scale option," a qualifying owner can have a </w:t>
      </w:r>
      <w:r>
        <w:rPr>
          <w:spacing w:val="-3"/>
          <w:sz w:val="24"/>
        </w:rPr>
        <w:t xml:space="preserve">yearly </w:t>
      </w:r>
      <w:r>
        <w:rPr>
          <w:sz w:val="24"/>
        </w:rPr>
        <w:t>income as high</w:t>
      </w:r>
      <w:r>
        <w:rPr>
          <w:spacing w:val="-23"/>
          <w:sz w:val="24"/>
        </w:rPr>
        <w:t xml:space="preserve"> </w:t>
      </w:r>
      <w:r>
        <w:rPr>
          <w:sz w:val="24"/>
        </w:rPr>
        <w:t>as</w:t>
      </w:r>
    </w:p>
    <w:p w14:paraId="3D779B59" w14:textId="77777777" w:rsidR="00E412D9" w:rsidRDefault="00832DF6">
      <w:pPr>
        <w:pStyle w:val="BodyText"/>
        <w:spacing w:line="247" w:lineRule="auto"/>
        <w:ind w:left="820" w:right="812"/>
      </w:pPr>
      <w:r>
        <w:t>$52,000 and an exemption of 5% in places that are using the maximum limit. Said sliding-scale option is further described in the following sliding-scale option table:</w:t>
      </w:r>
    </w:p>
    <w:p w14:paraId="308F6998" w14:textId="77777777" w:rsidR="00E412D9" w:rsidRDefault="00E412D9">
      <w:pPr>
        <w:pStyle w:val="BodyText"/>
      </w:pPr>
    </w:p>
    <w:p w14:paraId="08D2B1E8" w14:textId="77777777" w:rsidR="00E412D9" w:rsidRDefault="00E412D9">
      <w:pPr>
        <w:pStyle w:val="BodyText"/>
        <w:spacing w:before="9"/>
      </w:pPr>
    </w:p>
    <w:p w14:paraId="15FFC1EA" w14:textId="77777777" w:rsidR="00E412D9" w:rsidRDefault="00832DF6">
      <w:pPr>
        <w:pStyle w:val="BodyText"/>
        <w:ind w:left="100"/>
      </w:pPr>
      <w:r>
        <w:t>Sliding-Scale Option Table.</w:t>
      </w:r>
    </w:p>
    <w:p w14:paraId="0FBEDD11" w14:textId="77777777" w:rsidR="00E412D9" w:rsidRDefault="00E412D9">
      <w:pPr>
        <w:pStyle w:val="BodyText"/>
        <w:spacing w:before="1"/>
        <w:rPr>
          <w:sz w:val="2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61"/>
      </w:tblGrid>
      <w:tr w:rsidR="00E412D9" w14:paraId="2BAE070F" w14:textId="77777777">
        <w:trPr>
          <w:trHeight w:val="723"/>
        </w:trPr>
        <w:tc>
          <w:tcPr>
            <w:tcW w:w="4680" w:type="dxa"/>
            <w:shd w:val="clear" w:color="auto" w:fill="E5E5E5"/>
          </w:tcPr>
          <w:p w14:paraId="28338B5A" w14:textId="77777777" w:rsidR="00E412D9" w:rsidRDefault="00832DF6">
            <w:pPr>
              <w:pStyle w:val="TableParagraph"/>
              <w:rPr>
                <w:sz w:val="24"/>
              </w:rPr>
            </w:pPr>
            <w:r>
              <w:rPr>
                <w:sz w:val="24"/>
              </w:rPr>
              <w:t>Annual Income</w:t>
            </w:r>
          </w:p>
        </w:tc>
        <w:tc>
          <w:tcPr>
            <w:tcW w:w="4661" w:type="dxa"/>
            <w:shd w:val="clear" w:color="auto" w:fill="E5E5E5"/>
          </w:tcPr>
          <w:p w14:paraId="5C75BBAF" w14:textId="77777777" w:rsidR="00E412D9" w:rsidRDefault="00832DF6">
            <w:pPr>
              <w:pStyle w:val="TableParagraph"/>
              <w:spacing w:line="247" w:lineRule="auto"/>
              <w:ind w:left="1850" w:hanging="1740"/>
              <w:rPr>
                <w:sz w:val="24"/>
              </w:rPr>
            </w:pPr>
            <w:r>
              <w:rPr>
                <w:sz w:val="24"/>
              </w:rPr>
              <w:t xml:space="preserve">Percentage of Assessed Value Exempt </w:t>
            </w:r>
            <w:proofErr w:type="gramStart"/>
            <w:r>
              <w:rPr>
                <w:sz w:val="24"/>
              </w:rPr>
              <w:t>From</w:t>
            </w:r>
            <w:proofErr w:type="gramEnd"/>
            <w:r>
              <w:rPr>
                <w:sz w:val="24"/>
              </w:rPr>
              <w:t xml:space="preserve"> Taxation</w:t>
            </w:r>
          </w:p>
        </w:tc>
      </w:tr>
      <w:tr w:rsidR="00E412D9" w14:paraId="644F843D" w14:textId="77777777">
        <w:trPr>
          <w:trHeight w:val="440"/>
        </w:trPr>
        <w:tc>
          <w:tcPr>
            <w:tcW w:w="4680" w:type="dxa"/>
          </w:tcPr>
          <w:p w14:paraId="4E51A629" w14:textId="77777777" w:rsidR="00E412D9" w:rsidRDefault="00832DF6">
            <w:pPr>
              <w:pStyle w:val="TableParagraph"/>
              <w:rPr>
                <w:sz w:val="24"/>
              </w:rPr>
            </w:pPr>
            <w:r>
              <w:rPr>
                <w:sz w:val="24"/>
              </w:rPr>
              <w:t>$40,000 or less</w:t>
            </w:r>
          </w:p>
        </w:tc>
        <w:tc>
          <w:tcPr>
            <w:tcW w:w="4661" w:type="dxa"/>
          </w:tcPr>
          <w:p w14:paraId="2D605953" w14:textId="77777777" w:rsidR="00E412D9" w:rsidRDefault="00832DF6">
            <w:pPr>
              <w:pStyle w:val="TableParagraph"/>
              <w:ind w:left="2091" w:right="2069"/>
              <w:jc w:val="center"/>
              <w:rPr>
                <w:sz w:val="24"/>
              </w:rPr>
            </w:pPr>
            <w:r>
              <w:rPr>
                <w:sz w:val="24"/>
              </w:rPr>
              <w:t>50%</w:t>
            </w:r>
          </w:p>
        </w:tc>
      </w:tr>
      <w:tr w:rsidR="00E412D9" w14:paraId="59DFEE2C" w14:textId="77777777">
        <w:trPr>
          <w:trHeight w:val="440"/>
        </w:trPr>
        <w:tc>
          <w:tcPr>
            <w:tcW w:w="4680" w:type="dxa"/>
          </w:tcPr>
          <w:p w14:paraId="5991161D" w14:textId="77777777" w:rsidR="00E412D9" w:rsidRDefault="00832DF6">
            <w:pPr>
              <w:pStyle w:val="TableParagraph"/>
              <w:rPr>
                <w:sz w:val="24"/>
              </w:rPr>
            </w:pPr>
            <w:r>
              <w:rPr>
                <w:sz w:val="24"/>
              </w:rPr>
              <w:t>$40,000.01 to $41,399.99</w:t>
            </w:r>
          </w:p>
        </w:tc>
        <w:tc>
          <w:tcPr>
            <w:tcW w:w="4661" w:type="dxa"/>
          </w:tcPr>
          <w:p w14:paraId="2E0A3D57" w14:textId="77777777" w:rsidR="00E412D9" w:rsidRDefault="00832DF6">
            <w:pPr>
              <w:pStyle w:val="TableParagraph"/>
              <w:ind w:left="2091" w:right="2069"/>
              <w:jc w:val="center"/>
              <w:rPr>
                <w:sz w:val="24"/>
              </w:rPr>
            </w:pPr>
            <w:r>
              <w:rPr>
                <w:sz w:val="24"/>
              </w:rPr>
              <w:t>45%</w:t>
            </w:r>
          </w:p>
        </w:tc>
      </w:tr>
      <w:tr w:rsidR="00E412D9" w14:paraId="06CDF7FD" w14:textId="77777777">
        <w:trPr>
          <w:trHeight w:val="440"/>
        </w:trPr>
        <w:tc>
          <w:tcPr>
            <w:tcW w:w="4680" w:type="dxa"/>
          </w:tcPr>
          <w:p w14:paraId="7EC0F754" w14:textId="77777777" w:rsidR="00E412D9" w:rsidRDefault="00832DF6">
            <w:pPr>
              <w:pStyle w:val="TableParagraph"/>
              <w:rPr>
                <w:sz w:val="24"/>
              </w:rPr>
            </w:pPr>
            <w:r>
              <w:rPr>
                <w:sz w:val="24"/>
              </w:rPr>
              <w:t>$41,400 to $42,799.99</w:t>
            </w:r>
          </w:p>
        </w:tc>
        <w:tc>
          <w:tcPr>
            <w:tcW w:w="4661" w:type="dxa"/>
          </w:tcPr>
          <w:p w14:paraId="4BDD608E" w14:textId="77777777" w:rsidR="00E412D9" w:rsidRDefault="00832DF6">
            <w:pPr>
              <w:pStyle w:val="TableParagraph"/>
              <w:ind w:left="2091" w:right="2069"/>
              <w:jc w:val="center"/>
              <w:rPr>
                <w:sz w:val="24"/>
              </w:rPr>
            </w:pPr>
            <w:r>
              <w:rPr>
                <w:sz w:val="24"/>
              </w:rPr>
              <w:t>40%</w:t>
            </w:r>
          </w:p>
        </w:tc>
      </w:tr>
      <w:tr w:rsidR="00E412D9" w14:paraId="1297F12F" w14:textId="77777777">
        <w:trPr>
          <w:trHeight w:val="440"/>
        </w:trPr>
        <w:tc>
          <w:tcPr>
            <w:tcW w:w="4680" w:type="dxa"/>
          </w:tcPr>
          <w:p w14:paraId="26AF5491" w14:textId="77777777" w:rsidR="00E412D9" w:rsidRDefault="00832DF6">
            <w:pPr>
              <w:pStyle w:val="TableParagraph"/>
              <w:rPr>
                <w:sz w:val="24"/>
              </w:rPr>
            </w:pPr>
            <w:r>
              <w:rPr>
                <w:sz w:val="24"/>
              </w:rPr>
              <w:t>$42,800 to $44,199.99</w:t>
            </w:r>
          </w:p>
        </w:tc>
        <w:tc>
          <w:tcPr>
            <w:tcW w:w="4661" w:type="dxa"/>
          </w:tcPr>
          <w:p w14:paraId="2F4C063C" w14:textId="77777777" w:rsidR="00E412D9" w:rsidRDefault="00832DF6">
            <w:pPr>
              <w:pStyle w:val="TableParagraph"/>
              <w:ind w:left="2091" w:right="2069"/>
              <w:jc w:val="center"/>
              <w:rPr>
                <w:sz w:val="24"/>
              </w:rPr>
            </w:pPr>
            <w:r>
              <w:rPr>
                <w:sz w:val="24"/>
              </w:rPr>
              <w:t>35%</w:t>
            </w:r>
          </w:p>
        </w:tc>
      </w:tr>
      <w:tr w:rsidR="00E412D9" w14:paraId="3C84286E" w14:textId="77777777">
        <w:trPr>
          <w:trHeight w:val="421"/>
        </w:trPr>
        <w:tc>
          <w:tcPr>
            <w:tcW w:w="4680" w:type="dxa"/>
          </w:tcPr>
          <w:p w14:paraId="6A0C5331" w14:textId="77777777" w:rsidR="00E412D9" w:rsidRDefault="00832DF6">
            <w:pPr>
              <w:pStyle w:val="TableParagraph"/>
              <w:rPr>
                <w:sz w:val="24"/>
              </w:rPr>
            </w:pPr>
            <w:r>
              <w:rPr>
                <w:sz w:val="24"/>
              </w:rPr>
              <w:t>$44,200 to $45,499.99</w:t>
            </w:r>
          </w:p>
        </w:tc>
        <w:tc>
          <w:tcPr>
            <w:tcW w:w="4661" w:type="dxa"/>
          </w:tcPr>
          <w:p w14:paraId="75E064B3" w14:textId="77777777" w:rsidR="00E412D9" w:rsidRDefault="00832DF6">
            <w:pPr>
              <w:pStyle w:val="TableParagraph"/>
              <w:ind w:left="2091" w:right="2069"/>
              <w:jc w:val="center"/>
              <w:rPr>
                <w:sz w:val="24"/>
              </w:rPr>
            </w:pPr>
            <w:r>
              <w:rPr>
                <w:sz w:val="24"/>
              </w:rPr>
              <w:t>30%</w:t>
            </w:r>
          </w:p>
        </w:tc>
      </w:tr>
    </w:tbl>
    <w:p w14:paraId="350FD21D" w14:textId="77777777" w:rsidR="00E412D9" w:rsidRDefault="00E412D9">
      <w:pPr>
        <w:jc w:val="center"/>
        <w:rPr>
          <w:sz w:val="24"/>
        </w:rPr>
        <w:sectPr w:rsidR="00E412D9">
          <w:headerReference w:type="even" r:id="rId7"/>
          <w:headerReference w:type="default" r:id="rId8"/>
          <w:footerReference w:type="even" r:id="rId9"/>
          <w:footerReference w:type="default" r:id="rId10"/>
          <w:headerReference w:type="first" r:id="rId11"/>
          <w:footerReference w:type="first" r:id="rId12"/>
          <w:type w:val="continuous"/>
          <w:pgSz w:w="12240" w:h="15840"/>
          <w:pgMar w:top="1400" w:right="1320" w:bottom="280"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61"/>
      </w:tblGrid>
      <w:tr w:rsidR="00E412D9" w14:paraId="2E3AD8F9" w14:textId="77777777">
        <w:trPr>
          <w:trHeight w:val="440"/>
        </w:trPr>
        <w:tc>
          <w:tcPr>
            <w:tcW w:w="4680" w:type="dxa"/>
          </w:tcPr>
          <w:p w14:paraId="3AFC6752" w14:textId="77777777" w:rsidR="00E412D9" w:rsidRDefault="00832DF6">
            <w:pPr>
              <w:pStyle w:val="TableParagraph"/>
              <w:rPr>
                <w:sz w:val="24"/>
              </w:rPr>
            </w:pPr>
            <w:r>
              <w:rPr>
                <w:sz w:val="24"/>
              </w:rPr>
              <w:lastRenderedPageBreak/>
              <w:t>$45,500 to $46,799.99</w:t>
            </w:r>
          </w:p>
        </w:tc>
        <w:tc>
          <w:tcPr>
            <w:tcW w:w="4661" w:type="dxa"/>
          </w:tcPr>
          <w:p w14:paraId="001484E4" w14:textId="77777777" w:rsidR="00E412D9" w:rsidRDefault="00832DF6">
            <w:pPr>
              <w:pStyle w:val="TableParagraph"/>
              <w:ind w:left="2091" w:right="2069"/>
              <w:jc w:val="center"/>
              <w:rPr>
                <w:sz w:val="24"/>
              </w:rPr>
            </w:pPr>
            <w:r>
              <w:rPr>
                <w:sz w:val="24"/>
              </w:rPr>
              <w:t>25%</w:t>
            </w:r>
          </w:p>
        </w:tc>
      </w:tr>
      <w:tr w:rsidR="00E412D9" w14:paraId="577D51A2" w14:textId="77777777">
        <w:trPr>
          <w:trHeight w:val="440"/>
        </w:trPr>
        <w:tc>
          <w:tcPr>
            <w:tcW w:w="4680" w:type="dxa"/>
          </w:tcPr>
          <w:p w14:paraId="22A2A080" w14:textId="77777777" w:rsidR="00E412D9" w:rsidRDefault="00832DF6">
            <w:pPr>
              <w:pStyle w:val="TableParagraph"/>
              <w:rPr>
                <w:sz w:val="24"/>
              </w:rPr>
            </w:pPr>
            <w:r>
              <w:rPr>
                <w:sz w:val="24"/>
              </w:rPr>
              <w:t>$46,800 to $48,099.99</w:t>
            </w:r>
          </w:p>
        </w:tc>
        <w:tc>
          <w:tcPr>
            <w:tcW w:w="4661" w:type="dxa"/>
          </w:tcPr>
          <w:p w14:paraId="53F42005" w14:textId="77777777" w:rsidR="00E412D9" w:rsidRDefault="00832DF6">
            <w:pPr>
              <w:pStyle w:val="TableParagraph"/>
              <w:ind w:left="2091" w:right="2069"/>
              <w:jc w:val="center"/>
              <w:rPr>
                <w:sz w:val="24"/>
              </w:rPr>
            </w:pPr>
            <w:r>
              <w:rPr>
                <w:sz w:val="24"/>
              </w:rPr>
              <w:t>20%</w:t>
            </w:r>
          </w:p>
        </w:tc>
      </w:tr>
      <w:tr w:rsidR="00E412D9" w14:paraId="6586DCD7" w14:textId="77777777">
        <w:trPr>
          <w:trHeight w:val="440"/>
        </w:trPr>
        <w:tc>
          <w:tcPr>
            <w:tcW w:w="4680" w:type="dxa"/>
          </w:tcPr>
          <w:p w14:paraId="7DB18A51" w14:textId="77777777" w:rsidR="00E412D9" w:rsidRDefault="00832DF6">
            <w:pPr>
              <w:pStyle w:val="TableParagraph"/>
              <w:rPr>
                <w:sz w:val="24"/>
              </w:rPr>
            </w:pPr>
            <w:r>
              <w:rPr>
                <w:sz w:val="24"/>
              </w:rPr>
              <w:t>$48,100 to $49,399.99</w:t>
            </w:r>
          </w:p>
        </w:tc>
        <w:tc>
          <w:tcPr>
            <w:tcW w:w="4661" w:type="dxa"/>
          </w:tcPr>
          <w:p w14:paraId="1F1436CB" w14:textId="77777777" w:rsidR="00E412D9" w:rsidRDefault="00832DF6">
            <w:pPr>
              <w:pStyle w:val="TableParagraph"/>
              <w:ind w:left="2091" w:right="2069"/>
              <w:jc w:val="center"/>
              <w:rPr>
                <w:sz w:val="24"/>
              </w:rPr>
            </w:pPr>
            <w:r>
              <w:rPr>
                <w:sz w:val="24"/>
              </w:rPr>
              <w:t>15%</w:t>
            </w:r>
          </w:p>
        </w:tc>
      </w:tr>
      <w:tr w:rsidR="00E412D9" w14:paraId="276AAB49" w14:textId="77777777">
        <w:trPr>
          <w:trHeight w:val="440"/>
        </w:trPr>
        <w:tc>
          <w:tcPr>
            <w:tcW w:w="4680" w:type="dxa"/>
          </w:tcPr>
          <w:p w14:paraId="01D30ECF" w14:textId="77777777" w:rsidR="00E412D9" w:rsidRDefault="00832DF6">
            <w:pPr>
              <w:pStyle w:val="TableParagraph"/>
              <w:rPr>
                <w:sz w:val="24"/>
              </w:rPr>
            </w:pPr>
            <w:r>
              <w:rPr>
                <w:sz w:val="24"/>
              </w:rPr>
              <w:t>$49,400 to $50,699.99</w:t>
            </w:r>
          </w:p>
        </w:tc>
        <w:tc>
          <w:tcPr>
            <w:tcW w:w="4661" w:type="dxa"/>
          </w:tcPr>
          <w:p w14:paraId="18EBC17E" w14:textId="77777777" w:rsidR="00E412D9" w:rsidRDefault="00832DF6">
            <w:pPr>
              <w:pStyle w:val="TableParagraph"/>
              <w:ind w:left="2091" w:right="2069"/>
              <w:jc w:val="center"/>
              <w:rPr>
                <w:sz w:val="24"/>
              </w:rPr>
            </w:pPr>
            <w:r>
              <w:rPr>
                <w:sz w:val="24"/>
              </w:rPr>
              <w:t>10%</w:t>
            </w:r>
          </w:p>
        </w:tc>
      </w:tr>
      <w:tr w:rsidR="00E412D9" w14:paraId="6CFC906D" w14:textId="77777777">
        <w:trPr>
          <w:trHeight w:val="440"/>
        </w:trPr>
        <w:tc>
          <w:tcPr>
            <w:tcW w:w="4680" w:type="dxa"/>
          </w:tcPr>
          <w:p w14:paraId="4239D5F4" w14:textId="77777777" w:rsidR="00E412D9" w:rsidRDefault="00832DF6">
            <w:pPr>
              <w:pStyle w:val="TableParagraph"/>
              <w:rPr>
                <w:sz w:val="24"/>
              </w:rPr>
            </w:pPr>
            <w:r>
              <w:rPr>
                <w:sz w:val="24"/>
              </w:rPr>
              <w:t>$50,700 to $51,999.99</w:t>
            </w:r>
          </w:p>
        </w:tc>
        <w:tc>
          <w:tcPr>
            <w:tcW w:w="4661" w:type="dxa"/>
          </w:tcPr>
          <w:p w14:paraId="3FD1C197" w14:textId="77777777" w:rsidR="00E412D9" w:rsidRDefault="00832DF6">
            <w:pPr>
              <w:pStyle w:val="TableParagraph"/>
              <w:ind w:left="2091" w:right="2069"/>
              <w:jc w:val="center"/>
              <w:rPr>
                <w:sz w:val="24"/>
              </w:rPr>
            </w:pPr>
            <w:r>
              <w:rPr>
                <w:sz w:val="24"/>
              </w:rPr>
              <w:t>5%</w:t>
            </w:r>
          </w:p>
        </w:tc>
      </w:tr>
      <w:tr w:rsidR="00E412D9" w14:paraId="6D6DBE47" w14:textId="77777777">
        <w:trPr>
          <w:trHeight w:val="421"/>
        </w:trPr>
        <w:tc>
          <w:tcPr>
            <w:tcW w:w="4680" w:type="dxa"/>
          </w:tcPr>
          <w:p w14:paraId="303D85E2" w14:textId="77777777" w:rsidR="00E412D9" w:rsidRDefault="00832DF6">
            <w:pPr>
              <w:pStyle w:val="TableParagraph"/>
              <w:rPr>
                <w:sz w:val="24"/>
              </w:rPr>
            </w:pPr>
            <w:r>
              <w:rPr>
                <w:sz w:val="24"/>
              </w:rPr>
              <w:t>$52,000.00 and over</w:t>
            </w:r>
          </w:p>
        </w:tc>
        <w:tc>
          <w:tcPr>
            <w:tcW w:w="4661" w:type="dxa"/>
          </w:tcPr>
          <w:p w14:paraId="4345F250" w14:textId="77777777" w:rsidR="00E412D9" w:rsidRDefault="00832DF6">
            <w:pPr>
              <w:pStyle w:val="TableParagraph"/>
              <w:ind w:left="2091" w:right="2069"/>
              <w:jc w:val="center"/>
              <w:rPr>
                <w:sz w:val="24"/>
              </w:rPr>
            </w:pPr>
            <w:r>
              <w:rPr>
                <w:sz w:val="24"/>
              </w:rPr>
              <w:t>0%</w:t>
            </w:r>
          </w:p>
        </w:tc>
      </w:tr>
    </w:tbl>
    <w:p w14:paraId="2629941E" w14:textId="77777777" w:rsidR="00E412D9" w:rsidRDefault="00E412D9">
      <w:pPr>
        <w:pStyle w:val="BodyText"/>
        <w:rPr>
          <w:sz w:val="20"/>
        </w:rPr>
      </w:pPr>
    </w:p>
    <w:p w14:paraId="24241326" w14:textId="77777777" w:rsidR="00E412D9" w:rsidRDefault="00E412D9">
      <w:pPr>
        <w:pStyle w:val="BodyText"/>
        <w:spacing w:before="5"/>
      </w:pPr>
    </w:p>
    <w:p w14:paraId="16FF60E3" w14:textId="77777777" w:rsidR="00E412D9" w:rsidRDefault="00832DF6">
      <w:pPr>
        <w:pStyle w:val="BodyText"/>
        <w:tabs>
          <w:tab w:val="left" w:pos="1139"/>
        </w:tabs>
        <w:spacing w:before="59"/>
        <w:ind w:left="100"/>
      </w:pPr>
      <w:r>
        <w:t>§122-</w:t>
      </w:r>
      <w:r>
        <w:rPr>
          <w:u w:val="single"/>
        </w:rPr>
        <w:t xml:space="preserve"> </w:t>
      </w:r>
      <w:r>
        <w:rPr>
          <w:u w:val="single"/>
        </w:rPr>
        <w:tab/>
      </w:r>
      <w:r>
        <w:t>. Conditions.</w:t>
      </w:r>
    </w:p>
    <w:p w14:paraId="5E34B443" w14:textId="77777777" w:rsidR="00E412D9" w:rsidRDefault="00E412D9">
      <w:pPr>
        <w:pStyle w:val="BodyText"/>
        <w:spacing w:before="3"/>
        <w:rPr>
          <w:sz w:val="25"/>
        </w:rPr>
      </w:pPr>
    </w:p>
    <w:p w14:paraId="26F45957" w14:textId="77777777" w:rsidR="00E412D9" w:rsidRDefault="00832DF6">
      <w:pPr>
        <w:pStyle w:val="BodyText"/>
        <w:ind w:left="100"/>
      </w:pPr>
      <w:r>
        <w:t>No exemption shall be granted:</w:t>
      </w:r>
    </w:p>
    <w:p w14:paraId="071420C5" w14:textId="77777777" w:rsidR="00E412D9" w:rsidRDefault="00E412D9">
      <w:pPr>
        <w:pStyle w:val="BodyText"/>
        <w:spacing w:before="3"/>
        <w:rPr>
          <w:sz w:val="25"/>
        </w:rPr>
      </w:pPr>
    </w:p>
    <w:p w14:paraId="2A39E7F4" w14:textId="77777777" w:rsidR="00E412D9" w:rsidRDefault="00832DF6">
      <w:pPr>
        <w:pStyle w:val="ListParagraph"/>
        <w:numPr>
          <w:ilvl w:val="0"/>
          <w:numId w:val="1"/>
        </w:numPr>
        <w:tabs>
          <w:tab w:val="left" w:pos="819"/>
          <w:tab w:val="left" w:pos="820"/>
        </w:tabs>
        <w:spacing w:line="247" w:lineRule="auto"/>
        <w:ind w:right="148"/>
        <w:rPr>
          <w:sz w:val="24"/>
        </w:rPr>
      </w:pPr>
      <w:r>
        <w:rPr>
          <w:spacing w:val="-3"/>
          <w:sz w:val="24"/>
        </w:rPr>
        <w:t xml:space="preserve">If </w:t>
      </w:r>
      <w:r>
        <w:rPr>
          <w:sz w:val="24"/>
        </w:rPr>
        <w:t xml:space="preserve">the income of the owner or the combined income of the owners of the property for the prior </w:t>
      </w:r>
      <w:r>
        <w:rPr>
          <w:spacing w:val="-3"/>
          <w:sz w:val="24"/>
        </w:rPr>
        <w:t xml:space="preserve">year </w:t>
      </w:r>
      <w:r>
        <w:rPr>
          <w:sz w:val="24"/>
        </w:rPr>
        <w:t xml:space="preserve">exceeds the sum of $52,000. "Income tax year" shall mean the second-latest calendar </w:t>
      </w:r>
      <w:r>
        <w:rPr>
          <w:spacing w:val="-3"/>
          <w:sz w:val="24"/>
        </w:rPr>
        <w:t xml:space="preserve">year </w:t>
      </w:r>
      <w:r>
        <w:rPr>
          <w:sz w:val="24"/>
        </w:rPr>
        <w:t xml:space="preserve">for which the owner or owners filed a federal personal income tax return </w:t>
      </w:r>
      <w:r>
        <w:rPr>
          <w:spacing w:val="-6"/>
          <w:sz w:val="24"/>
        </w:rPr>
        <w:t xml:space="preserve">or, </w:t>
      </w:r>
      <w:r>
        <w:rPr>
          <w:sz w:val="24"/>
        </w:rPr>
        <w:t xml:space="preserve">if no such return is filed, the calendar </w:t>
      </w:r>
      <w:r>
        <w:rPr>
          <w:spacing w:val="-4"/>
          <w:sz w:val="24"/>
        </w:rPr>
        <w:t xml:space="preserve">year. </w:t>
      </w:r>
      <w:r>
        <w:rPr>
          <w:sz w:val="24"/>
        </w:rPr>
        <w:t xml:space="preserve">Where title is vested in either spouse, their combined income may not exceed such sum. Such income shall include social security and retirement benefits, taxable </w:t>
      </w:r>
      <w:r>
        <w:rPr>
          <w:spacing w:val="-3"/>
          <w:sz w:val="24"/>
        </w:rPr>
        <w:t xml:space="preserve">IRA </w:t>
      </w:r>
      <w:r>
        <w:rPr>
          <w:sz w:val="24"/>
        </w:rPr>
        <w:t xml:space="preserve">distributions, interest, dividends, total gain from the sale or exchange of a capital asset in the same income tax year, net rental income, salary or earnings, and net income from self-employment but shall not include a return of capital, gifts or inheritances. </w:t>
      </w:r>
      <w:r>
        <w:rPr>
          <w:spacing w:val="-5"/>
          <w:sz w:val="24"/>
        </w:rPr>
        <w:t xml:space="preserve">In </w:t>
      </w:r>
      <w:r>
        <w:rPr>
          <w:sz w:val="24"/>
        </w:rPr>
        <w:t>computing net rental income and net income from</w:t>
      </w:r>
    </w:p>
    <w:p w14:paraId="0A8452F0" w14:textId="77777777" w:rsidR="00E412D9" w:rsidRDefault="00832DF6">
      <w:pPr>
        <w:pStyle w:val="BodyText"/>
        <w:spacing w:line="247" w:lineRule="auto"/>
        <w:ind w:left="820"/>
      </w:pPr>
      <w:r>
        <w:t xml:space="preserve">self-employment, no depreciation deduction shall be allowed for the exhaustion, wear and tear of real or personal property held </w:t>
      </w:r>
      <w:proofErr w:type="gramStart"/>
      <w:r>
        <w:t>for the production of</w:t>
      </w:r>
      <w:proofErr w:type="gramEnd"/>
      <w:r>
        <w:t xml:space="preserve"> income.</w:t>
      </w:r>
    </w:p>
    <w:p w14:paraId="116E65C1" w14:textId="77777777" w:rsidR="00E412D9" w:rsidRDefault="00E412D9">
      <w:pPr>
        <w:pStyle w:val="BodyText"/>
        <w:spacing w:before="7"/>
        <w:rPr>
          <w:sz w:val="23"/>
        </w:rPr>
      </w:pPr>
    </w:p>
    <w:p w14:paraId="5342692A" w14:textId="77777777" w:rsidR="00E412D9" w:rsidRDefault="00832DF6">
      <w:pPr>
        <w:pStyle w:val="ListParagraph"/>
        <w:numPr>
          <w:ilvl w:val="0"/>
          <w:numId w:val="1"/>
        </w:numPr>
        <w:tabs>
          <w:tab w:val="left" w:pos="818"/>
          <w:tab w:val="left" w:pos="819"/>
        </w:tabs>
        <w:spacing w:line="247" w:lineRule="auto"/>
        <w:ind w:right="125"/>
        <w:rPr>
          <w:sz w:val="24"/>
        </w:rPr>
      </w:pPr>
      <w:r>
        <w:rPr>
          <w:sz w:val="24"/>
        </w:rPr>
        <w:t xml:space="preserve">Unless the title of the property shall have been vested in the owner or one of the owners of the property for at least 12 consecutive months prior to the date of making application for exemption; provided, however, that in the event of the death of either spouse in </w:t>
      </w:r>
      <w:r>
        <w:rPr>
          <w:spacing w:val="-4"/>
          <w:sz w:val="24"/>
        </w:rPr>
        <w:t xml:space="preserve">whose </w:t>
      </w:r>
      <w:r>
        <w:rPr>
          <w:sz w:val="24"/>
        </w:rPr>
        <w:t xml:space="preserve">name title of the property shall have been vested at the time of death and then becomes vested solely in the survivor by virtue of devise by or descent from the deceased spouse, the time of the ownership of the property by the deceased spouse shall be deemed also a time of ownership by the survivor and such ownership shall be deemed continuous for </w:t>
      </w:r>
      <w:r>
        <w:rPr>
          <w:spacing w:val="-5"/>
          <w:sz w:val="24"/>
        </w:rPr>
        <w:t xml:space="preserve">the </w:t>
      </w:r>
      <w:r>
        <w:rPr>
          <w:sz w:val="24"/>
        </w:rPr>
        <w:t xml:space="preserve">purposes of either spouse to the other spouse of all or part of the title to the property, the time of ownership of the property by the transferor spouse shall be deemed also a time of ownership by the transferee spouse and such ownership shall be deemed continuous for the purposes of computing such period of 12 consecutive months; and provided further, that where property formerly owned by such owner or owners and taken by eminent domain or other involuntary proceeding, except a tax sale, the period of ownership of the property for which application is made for exemption and such periods of ownership </w:t>
      </w:r>
      <w:r>
        <w:rPr>
          <w:spacing w:val="-4"/>
          <w:sz w:val="24"/>
        </w:rPr>
        <w:t xml:space="preserve">shall </w:t>
      </w:r>
      <w:r>
        <w:rPr>
          <w:sz w:val="24"/>
        </w:rPr>
        <w:t xml:space="preserve">be deemed to be consecutive for purposes of this section. Where a residence is sold and replaced with another within one </w:t>
      </w:r>
      <w:r>
        <w:rPr>
          <w:spacing w:val="-4"/>
          <w:sz w:val="24"/>
        </w:rPr>
        <w:t xml:space="preserve">year </w:t>
      </w:r>
      <w:r>
        <w:rPr>
          <w:sz w:val="24"/>
        </w:rPr>
        <w:t>and is in the Town of Clarkson, the period of ownership of the former property shall be combined with the period of ownership of the replacement residence and deemed consecutive for exemption for taxation by the</w:t>
      </w:r>
      <w:r>
        <w:rPr>
          <w:spacing w:val="-18"/>
          <w:sz w:val="24"/>
        </w:rPr>
        <w:t xml:space="preserve"> </w:t>
      </w:r>
      <w:r>
        <w:rPr>
          <w:sz w:val="24"/>
        </w:rPr>
        <w:t>Town</w:t>
      </w:r>
    </w:p>
    <w:p w14:paraId="35C9581C" w14:textId="77777777" w:rsidR="00E412D9" w:rsidRDefault="00E412D9">
      <w:pPr>
        <w:spacing w:line="247" w:lineRule="auto"/>
        <w:rPr>
          <w:sz w:val="24"/>
        </w:rPr>
        <w:sectPr w:rsidR="00E412D9">
          <w:pgSz w:w="12240" w:h="15840"/>
          <w:pgMar w:top="1440" w:right="1320" w:bottom="280" w:left="1340" w:header="720" w:footer="720" w:gutter="0"/>
          <w:cols w:space="720"/>
        </w:sectPr>
      </w:pPr>
    </w:p>
    <w:p w14:paraId="0845FA93" w14:textId="77777777" w:rsidR="00E412D9" w:rsidRDefault="00832DF6">
      <w:pPr>
        <w:pStyle w:val="BodyText"/>
        <w:spacing w:before="41"/>
        <w:ind w:left="820"/>
      </w:pPr>
      <w:r>
        <w:lastRenderedPageBreak/>
        <w:t>of Clarkson.</w:t>
      </w:r>
    </w:p>
    <w:p w14:paraId="7FAA890E" w14:textId="77777777" w:rsidR="00E412D9" w:rsidRDefault="00E412D9">
      <w:pPr>
        <w:pStyle w:val="BodyText"/>
        <w:spacing w:before="3"/>
        <w:rPr>
          <w:sz w:val="25"/>
        </w:rPr>
      </w:pPr>
    </w:p>
    <w:p w14:paraId="4C58CC01" w14:textId="77777777" w:rsidR="00E412D9" w:rsidRDefault="00832DF6">
      <w:pPr>
        <w:pStyle w:val="ListParagraph"/>
        <w:numPr>
          <w:ilvl w:val="0"/>
          <w:numId w:val="1"/>
        </w:numPr>
        <w:tabs>
          <w:tab w:val="left" w:pos="819"/>
          <w:tab w:val="left" w:pos="820"/>
        </w:tabs>
        <w:rPr>
          <w:sz w:val="24"/>
        </w:rPr>
      </w:pPr>
      <w:r>
        <w:rPr>
          <w:sz w:val="24"/>
        </w:rPr>
        <w:t>Unless the property is used exclusively for residential</w:t>
      </w:r>
      <w:r>
        <w:rPr>
          <w:spacing w:val="-19"/>
          <w:sz w:val="24"/>
        </w:rPr>
        <w:t xml:space="preserve"> </w:t>
      </w:r>
      <w:r>
        <w:rPr>
          <w:sz w:val="24"/>
        </w:rPr>
        <w:t>purposes.</w:t>
      </w:r>
    </w:p>
    <w:p w14:paraId="05972E30" w14:textId="77777777" w:rsidR="00E412D9" w:rsidRDefault="00E412D9">
      <w:pPr>
        <w:pStyle w:val="BodyText"/>
        <w:spacing w:before="3"/>
        <w:rPr>
          <w:sz w:val="25"/>
        </w:rPr>
      </w:pPr>
    </w:p>
    <w:p w14:paraId="13D3A987" w14:textId="77777777" w:rsidR="00E412D9" w:rsidRDefault="00832DF6">
      <w:pPr>
        <w:pStyle w:val="ListParagraph"/>
        <w:numPr>
          <w:ilvl w:val="0"/>
          <w:numId w:val="1"/>
        </w:numPr>
        <w:tabs>
          <w:tab w:val="left" w:pos="819"/>
          <w:tab w:val="left" w:pos="820"/>
        </w:tabs>
        <w:spacing w:line="247" w:lineRule="auto"/>
        <w:ind w:right="763"/>
        <w:rPr>
          <w:sz w:val="24"/>
        </w:rPr>
      </w:pPr>
      <w:r>
        <w:rPr>
          <w:sz w:val="24"/>
        </w:rPr>
        <w:t>Unless the property is the legal residence of and occupied in whole or in part by</w:t>
      </w:r>
      <w:r>
        <w:rPr>
          <w:spacing w:val="-29"/>
          <w:sz w:val="24"/>
        </w:rPr>
        <w:t xml:space="preserve"> </w:t>
      </w:r>
      <w:r>
        <w:rPr>
          <w:spacing w:val="-6"/>
          <w:sz w:val="24"/>
        </w:rPr>
        <w:t xml:space="preserve">the </w:t>
      </w:r>
      <w:r>
        <w:rPr>
          <w:sz w:val="24"/>
        </w:rPr>
        <w:t>owner or by all the owners of the</w:t>
      </w:r>
      <w:r>
        <w:rPr>
          <w:spacing w:val="-13"/>
          <w:sz w:val="24"/>
        </w:rPr>
        <w:t xml:space="preserve"> </w:t>
      </w:r>
      <w:r>
        <w:rPr>
          <w:sz w:val="24"/>
        </w:rPr>
        <w:t>property.</w:t>
      </w:r>
    </w:p>
    <w:p w14:paraId="3A1B5B76" w14:textId="77777777" w:rsidR="00E412D9" w:rsidRDefault="00E412D9">
      <w:pPr>
        <w:pStyle w:val="BodyText"/>
        <w:spacing w:before="5"/>
      </w:pPr>
    </w:p>
    <w:p w14:paraId="46909948" w14:textId="77777777" w:rsidR="00E412D9" w:rsidRDefault="00832DF6">
      <w:pPr>
        <w:pStyle w:val="BodyText"/>
        <w:tabs>
          <w:tab w:val="left" w:pos="1199"/>
        </w:tabs>
        <w:ind w:left="100"/>
      </w:pPr>
      <w:r>
        <w:t>§ 122-</w:t>
      </w:r>
      <w:r>
        <w:rPr>
          <w:u w:val="single"/>
        </w:rPr>
        <w:t xml:space="preserve"> </w:t>
      </w:r>
      <w:r>
        <w:rPr>
          <w:u w:val="single"/>
        </w:rPr>
        <w:tab/>
      </w:r>
      <w:r>
        <w:t>. Application for</w:t>
      </w:r>
      <w:r>
        <w:rPr>
          <w:spacing w:val="-1"/>
        </w:rPr>
        <w:t xml:space="preserve"> </w:t>
      </w:r>
      <w:r>
        <w:t>exemption.</w:t>
      </w:r>
    </w:p>
    <w:p w14:paraId="345529B6" w14:textId="77777777" w:rsidR="00E412D9" w:rsidRDefault="00E412D9">
      <w:pPr>
        <w:pStyle w:val="BodyText"/>
        <w:spacing w:before="3"/>
        <w:rPr>
          <w:sz w:val="25"/>
        </w:rPr>
      </w:pPr>
    </w:p>
    <w:p w14:paraId="422DFAB1" w14:textId="77777777" w:rsidR="00E412D9" w:rsidRDefault="00832DF6">
      <w:pPr>
        <w:pStyle w:val="BodyText"/>
        <w:spacing w:line="247" w:lineRule="auto"/>
        <w:ind w:left="100" w:right="159"/>
      </w:pPr>
      <w:r>
        <w:t xml:space="preserve">Application for such exemption must be made by the owner or </w:t>
      </w:r>
      <w:proofErr w:type="gramStart"/>
      <w:r>
        <w:t>all of</w:t>
      </w:r>
      <w:proofErr w:type="gramEnd"/>
      <w:r>
        <w:t xml:space="preserve"> the owners of the property on forms prescribed by the State Board of Real Property Services to be furnished by the Town of Clarkson and shall furnish the information and be executed in the manner required or prescribed in such forms and shall be filed in the Assessor's office on or before the appropriate taxable status date.</w:t>
      </w:r>
    </w:p>
    <w:p w14:paraId="78F72E64" w14:textId="77777777" w:rsidR="00E412D9" w:rsidRDefault="00E412D9">
      <w:pPr>
        <w:pStyle w:val="BodyText"/>
      </w:pPr>
    </w:p>
    <w:p w14:paraId="3DBBA737" w14:textId="77777777" w:rsidR="00E412D9" w:rsidRDefault="00E412D9">
      <w:pPr>
        <w:pStyle w:val="BodyText"/>
        <w:spacing w:before="2"/>
        <w:rPr>
          <w:sz w:val="25"/>
        </w:rPr>
      </w:pPr>
    </w:p>
    <w:p w14:paraId="630AD09B" w14:textId="77777777" w:rsidR="00E412D9" w:rsidRDefault="00832DF6">
      <w:pPr>
        <w:pStyle w:val="Heading1"/>
      </w:pPr>
      <w:r>
        <w:t>Section 2. Severability.</w:t>
      </w:r>
    </w:p>
    <w:p w14:paraId="30F1AC2B" w14:textId="77777777" w:rsidR="00E412D9" w:rsidRDefault="00E412D9">
      <w:pPr>
        <w:pStyle w:val="BodyText"/>
        <w:spacing w:before="9"/>
        <w:rPr>
          <w:b/>
        </w:rPr>
      </w:pPr>
    </w:p>
    <w:p w14:paraId="4266A9A4" w14:textId="77777777" w:rsidR="00E412D9" w:rsidRDefault="00832DF6">
      <w:pPr>
        <w:pStyle w:val="BodyText"/>
        <w:spacing w:line="247" w:lineRule="auto"/>
        <w:ind w:left="100" w:right="129"/>
      </w:pPr>
      <w:r>
        <w:t>If any clause, sentence, phrase, paragraph or any part of this Local Law shall for any reason be adjudicated finally by a court of competent jurisdiction to be invalid, such judgment shall not affect, impair or invalidate the remainder of this Local Law, but shall be confined in its operation and effect to the clause, sentence, phrase, paragraph or part thereof, directly involved in the controversy or action in which such judgment shall have been rendered. It is hereby declared to be the legislative intent that the remainder of this Local Law would have been adopted had any such provisions been excluded.</w:t>
      </w:r>
    </w:p>
    <w:p w14:paraId="7786BF02" w14:textId="77777777" w:rsidR="00E412D9" w:rsidRDefault="00E412D9">
      <w:pPr>
        <w:pStyle w:val="BodyText"/>
      </w:pPr>
    </w:p>
    <w:p w14:paraId="075AA60B" w14:textId="77777777" w:rsidR="00E412D9" w:rsidRDefault="00E412D9">
      <w:pPr>
        <w:pStyle w:val="BodyText"/>
        <w:rPr>
          <w:sz w:val="25"/>
        </w:rPr>
      </w:pPr>
    </w:p>
    <w:p w14:paraId="3BA0A048" w14:textId="77777777" w:rsidR="00E412D9" w:rsidRDefault="00832DF6">
      <w:pPr>
        <w:pStyle w:val="Heading1"/>
        <w:rPr>
          <w:b w:val="0"/>
        </w:rPr>
      </w:pPr>
      <w:r>
        <w:t>Section 3. Effective Date</w:t>
      </w:r>
      <w:r>
        <w:rPr>
          <w:b w:val="0"/>
        </w:rPr>
        <w:t>.</w:t>
      </w:r>
    </w:p>
    <w:p w14:paraId="1C31AB0C" w14:textId="77777777" w:rsidR="00E412D9" w:rsidRDefault="00E412D9">
      <w:pPr>
        <w:pStyle w:val="BodyText"/>
        <w:spacing w:before="2"/>
        <w:rPr>
          <w:sz w:val="25"/>
        </w:rPr>
      </w:pPr>
    </w:p>
    <w:p w14:paraId="387BAA60" w14:textId="77777777" w:rsidR="00E412D9" w:rsidRDefault="00832DF6">
      <w:pPr>
        <w:pStyle w:val="BodyText"/>
        <w:spacing w:before="1" w:line="249" w:lineRule="auto"/>
        <w:ind w:left="100"/>
        <w:rPr>
          <w:b/>
        </w:rPr>
      </w:pPr>
      <w:r>
        <w:t xml:space="preserve">This Local Law shall take effect upon the date it is filed in the Office of the New York State Secretary of State and shall be used in the preparation of assessment rolls </w:t>
      </w:r>
      <w:r>
        <w:rPr>
          <w:b/>
        </w:rPr>
        <w:t>on or after March 1, 2024.</w:t>
      </w:r>
    </w:p>
    <w:sectPr w:rsidR="00E412D9">
      <w:pgSz w:w="12240" w:h="15840"/>
      <w:pgMar w:top="14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83F02" w14:textId="77777777" w:rsidR="00C57394" w:rsidRDefault="00C57394" w:rsidP="00C57394">
      <w:r>
        <w:separator/>
      </w:r>
    </w:p>
  </w:endnote>
  <w:endnote w:type="continuationSeparator" w:id="0">
    <w:p w14:paraId="2B1BA323" w14:textId="77777777" w:rsidR="00C57394" w:rsidRDefault="00C57394" w:rsidP="00C5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2F73" w14:textId="77777777" w:rsidR="005D03D4" w:rsidRDefault="005D0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F244" w14:textId="77777777" w:rsidR="005D03D4" w:rsidRDefault="005D0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4C86" w14:textId="77777777" w:rsidR="005D03D4" w:rsidRDefault="005D0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7009" w14:textId="77777777" w:rsidR="00C57394" w:rsidRDefault="00C57394" w:rsidP="00C57394">
      <w:r>
        <w:separator/>
      </w:r>
    </w:p>
  </w:footnote>
  <w:footnote w:type="continuationSeparator" w:id="0">
    <w:p w14:paraId="467C2029" w14:textId="77777777" w:rsidR="00C57394" w:rsidRDefault="00C57394" w:rsidP="00C5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E459" w14:textId="77777777" w:rsidR="005D03D4" w:rsidRDefault="005D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37D3" w14:textId="77777777" w:rsidR="00C57394" w:rsidRDefault="00C57394">
    <w:pPr>
      <w:pStyle w:val="Header"/>
    </w:pPr>
  </w:p>
  <w:p w14:paraId="391454A2" w14:textId="78D71DCA" w:rsidR="00C57394" w:rsidRDefault="00C57394">
    <w:pPr>
      <w:pStyle w:val="Header"/>
      <w:rPr>
        <w:b/>
        <w:bCs/>
        <w:sz w:val="24"/>
        <w:szCs w:val="24"/>
      </w:rPr>
    </w:pPr>
    <w:r w:rsidRPr="00C57394">
      <w:rPr>
        <w:b/>
        <w:bCs/>
        <w:sz w:val="24"/>
        <w:szCs w:val="24"/>
      </w:rPr>
      <w:t xml:space="preserve">Effective </w:t>
    </w:r>
    <w:r w:rsidRPr="00C57394">
      <w:rPr>
        <w:b/>
        <w:bCs/>
        <w:sz w:val="24"/>
        <w:szCs w:val="24"/>
      </w:rPr>
      <w:t>2/27/2</w:t>
    </w:r>
    <w:r w:rsidR="005D03D4">
      <w:rPr>
        <w:b/>
        <w:bCs/>
        <w:sz w:val="24"/>
        <w:szCs w:val="24"/>
      </w:rPr>
      <w:t>4</w:t>
    </w:r>
  </w:p>
  <w:p w14:paraId="2C1558D0" w14:textId="77777777" w:rsidR="00C57394" w:rsidRDefault="00C57394">
    <w:pPr>
      <w:pStyle w:val="Header"/>
      <w:rPr>
        <w:b/>
        <w:bCs/>
        <w:sz w:val="24"/>
        <w:szCs w:val="24"/>
      </w:rPr>
    </w:pPr>
  </w:p>
  <w:p w14:paraId="085E97EE" w14:textId="77777777" w:rsidR="00C57394" w:rsidRPr="00C57394" w:rsidRDefault="00C57394">
    <w:pPr>
      <w:pStyle w:val="Header"/>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D2F7" w14:textId="77777777" w:rsidR="005D03D4" w:rsidRDefault="005D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650DE"/>
    <w:multiLevelType w:val="hybridMultilevel"/>
    <w:tmpl w:val="4BF2E46C"/>
    <w:lvl w:ilvl="0" w:tplc="B87CDC7E">
      <w:start w:val="1"/>
      <w:numFmt w:val="upperLetter"/>
      <w:lvlText w:val="%1."/>
      <w:lvlJc w:val="left"/>
      <w:pPr>
        <w:ind w:left="820" w:hanging="720"/>
        <w:jc w:val="left"/>
      </w:pPr>
      <w:rPr>
        <w:rFonts w:ascii="Times New Roman" w:eastAsia="Times New Roman" w:hAnsi="Times New Roman" w:cs="Times New Roman" w:hint="default"/>
        <w:w w:val="99"/>
        <w:sz w:val="24"/>
        <w:szCs w:val="24"/>
      </w:rPr>
    </w:lvl>
    <w:lvl w:ilvl="1" w:tplc="76E6AFB0">
      <w:numFmt w:val="bullet"/>
      <w:lvlText w:val="•"/>
      <w:lvlJc w:val="left"/>
      <w:pPr>
        <w:ind w:left="1696" w:hanging="720"/>
      </w:pPr>
      <w:rPr>
        <w:rFonts w:hint="default"/>
      </w:rPr>
    </w:lvl>
    <w:lvl w:ilvl="2" w:tplc="6A1C2C24">
      <w:numFmt w:val="bullet"/>
      <w:lvlText w:val="•"/>
      <w:lvlJc w:val="left"/>
      <w:pPr>
        <w:ind w:left="2572" w:hanging="720"/>
      </w:pPr>
      <w:rPr>
        <w:rFonts w:hint="default"/>
      </w:rPr>
    </w:lvl>
    <w:lvl w:ilvl="3" w:tplc="DF5EDEE2">
      <w:numFmt w:val="bullet"/>
      <w:lvlText w:val="•"/>
      <w:lvlJc w:val="left"/>
      <w:pPr>
        <w:ind w:left="3448" w:hanging="720"/>
      </w:pPr>
      <w:rPr>
        <w:rFonts w:hint="default"/>
      </w:rPr>
    </w:lvl>
    <w:lvl w:ilvl="4" w:tplc="31E0E0F8">
      <w:numFmt w:val="bullet"/>
      <w:lvlText w:val="•"/>
      <w:lvlJc w:val="left"/>
      <w:pPr>
        <w:ind w:left="4324" w:hanging="720"/>
      </w:pPr>
      <w:rPr>
        <w:rFonts w:hint="default"/>
      </w:rPr>
    </w:lvl>
    <w:lvl w:ilvl="5" w:tplc="1448910E">
      <w:numFmt w:val="bullet"/>
      <w:lvlText w:val="•"/>
      <w:lvlJc w:val="left"/>
      <w:pPr>
        <w:ind w:left="5200" w:hanging="720"/>
      </w:pPr>
      <w:rPr>
        <w:rFonts w:hint="default"/>
      </w:rPr>
    </w:lvl>
    <w:lvl w:ilvl="6" w:tplc="525AD44A">
      <w:numFmt w:val="bullet"/>
      <w:lvlText w:val="•"/>
      <w:lvlJc w:val="left"/>
      <w:pPr>
        <w:ind w:left="6076" w:hanging="720"/>
      </w:pPr>
      <w:rPr>
        <w:rFonts w:hint="default"/>
      </w:rPr>
    </w:lvl>
    <w:lvl w:ilvl="7" w:tplc="B234E4DA">
      <w:numFmt w:val="bullet"/>
      <w:lvlText w:val="•"/>
      <w:lvlJc w:val="left"/>
      <w:pPr>
        <w:ind w:left="6952" w:hanging="720"/>
      </w:pPr>
      <w:rPr>
        <w:rFonts w:hint="default"/>
      </w:rPr>
    </w:lvl>
    <w:lvl w:ilvl="8" w:tplc="20BC4D2A">
      <w:numFmt w:val="bullet"/>
      <w:lvlText w:val="•"/>
      <w:lvlJc w:val="left"/>
      <w:pPr>
        <w:ind w:left="7828" w:hanging="720"/>
      </w:pPr>
      <w:rPr>
        <w:rFonts w:hint="default"/>
      </w:rPr>
    </w:lvl>
  </w:abstractNum>
  <w:abstractNum w:abstractNumId="1" w15:restartNumberingAfterBreak="0">
    <w:nsid w:val="6D064B64"/>
    <w:multiLevelType w:val="hybridMultilevel"/>
    <w:tmpl w:val="DA186F74"/>
    <w:lvl w:ilvl="0" w:tplc="4540FC92">
      <w:start w:val="1"/>
      <w:numFmt w:val="upperLetter"/>
      <w:lvlText w:val="%1."/>
      <w:lvlJc w:val="left"/>
      <w:pPr>
        <w:ind w:left="820" w:hanging="720"/>
        <w:jc w:val="left"/>
      </w:pPr>
      <w:rPr>
        <w:rFonts w:ascii="Times New Roman" w:eastAsia="Times New Roman" w:hAnsi="Times New Roman" w:cs="Times New Roman" w:hint="default"/>
        <w:w w:val="99"/>
        <w:sz w:val="24"/>
        <w:szCs w:val="24"/>
      </w:rPr>
    </w:lvl>
    <w:lvl w:ilvl="1" w:tplc="0258424E">
      <w:numFmt w:val="bullet"/>
      <w:lvlText w:val="•"/>
      <w:lvlJc w:val="left"/>
      <w:pPr>
        <w:ind w:left="1696" w:hanging="720"/>
      </w:pPr>
      <w:rPr>
        <w:rFonts w:hint="default"/>
      </w:rPr>
    </w:lvl>
    <w:lvl w:ilvl="2" w:tplc="35E64542">
      <w:numFmt w:val="bullet"/>
      <w:lvlText w:val="•"/>
      <w:lvlJc w:val="left"/>
      <w:pPr>
        <w:ind w:left="2572" w:hanging="720"/>
      </w:pPr>
      <w:rPr>
        <w:rFonts w:hint="default"/>
      </w:rPr>
    </w:lvl>
    <w:lvl w:ilvl="3" w:tplc="4B708D84">
      <w:numFmt w:val="bullet"/>
      <w:lvlText w:val="•"/>
      <w:lvlJc w:val="left"/>
      <w:pPr>
        <w:ind w:left="3448" w:hanging="720"/>
      </w:pPr>
      <w:rPr>
        <w:rFonts w:hint="default"/>
      </w:rPr>
    </w:lvl>
    <w:lvl w:ilvl="4" w:tplc="7EB8F136">
      <w:numFmt w:val="bullet"/>
      <w:lvlText w:val="•"/>
      <w:lvlJc w:val="left"/>
      <w:pPr>
        <w:ind w:left="4324" w:hanging="720"/>
      </w:pPr>
      <w:rPr>
        <w:rFonts w:hint="default"/>
      </w:rPr>
    </w:lvl>
    <w:lvl w:ilvl="5" w:tplc="3D44C5A4">
      <w:numFmt w:val="bullet"/>
      <w:lvlText w:val="•"/>
      <w:lvlJc w:val="left"/>
      <w:pPr>
        <w:ind w:left="5200" w:hanging="720"/>
      </w:pPr>
      <w:rPr>
        <w:rFonts w:hint="default"/>
      </w:rPr>
    </w:lvl>
    <w:lvl w:ilvl="6" w:tplc="DCDECE58">
      <w:numFmt w:val="bullet"/>
      <w:lvlText w:val="•"/>
      <w:lvlJc w:val="left"/>
      <w:pPr>
        <w:ind w:left="6076" w:hanging="720"/>
      </w:pPr>
      <w:rPr>
        <w:rFonts w:hint="default"/>
      </w:rPr>
    </w:lvl>
    <w:lvl w:ilvl="7" w:tplc="A91E50A2">
      <w:numFmt w:val="bullet"/>
      <w:lvlText w:val="•"/>
      <w:lvlJc w:val="left"/>
      <w:pPr>
        <w:ind w:left="6952" w:hanging="720"/>
      </w:pPr>
      <w:rPr>
        <w:rFonts w:hint="default"/>
      </w:rPr>
    </w:lvl>
    <w:lvl w:ilvl="8" w:tplc="C1FA0FB8">
      <w:numFmt w:val="bullet"/>
      <w:lvlText w:val="•"/>
      <w:lvlJc w:val="left"/>
      <w:pPr>
        <w:ind w:left="7828" w:hanging="720"/>
      </w:pPr>
      <w:rPr>
        <w:rFonts w:hint="default"/>
      </w:rPr>
    </w:lvl>
  </w:abstractNum>
  <w:num w:numId="1" w16cid:durableId="2059890764">
    <w:abstractNumId w:val="0"/>
  </w:num>
  <w:num w:numId="2" w16cid:durableId="205588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D9"/>
    <w:rsid w:val="005D03D4"/>
    <w:rsid w:val="00832DF6"/>
    <w:rsid w:val="008F7484"/>
    <w:rsid w:val="00B2343C"/>
    <w:rsid w:val="00C26146"/>
    <w:rsid w:val="00C57394"/>
    <w:rsid w:val="00E4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C514"/>
  <w15:docId w15:val="{9B2B100C-3534-4C94-ABF3-B50E7199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spacing w:before="103"/>
      <w:ind w:left="110"/>
    </w:pPr>
  </w:style>
  <w:style w:type="paragraph" w:styleId="Header">
    <w:name w:val="header"/>
    <w:basedOn w:val="Normal"/>
    <w:link w:val="HeaderChar"/>
    <w:uiPriority w:val="99"/>
    <w:unhideWhenUsed/>
    <w:rsid w:val="00C57394"/>
    <w:pPr>
      <w:tabs>
        <w:tab w:val="center" w:pos="4680"/>
        <w:tab w:val="right" w:pos="9360"/>
      </w:tabs>
    </w:pPr>
  </w:style>
  <w:style w:type="character" w:customStyle="1" w:styleId="HeaderChar">
    <w:name w:val="Header Char"/>
    <w:basedOn w:val="DefaultParagraphFont"/>
    <w:link w:val="Header"/>
    <w:uiPriority w:val="99"/>
    <w:rsid w:val="00C57394"/>
    <w:rPr>
      <w:rFonts w:ascii="Times New Roman" w:eastAsia="Times New Roman" w:hAnsi="Times New Roman" w:cs="Times New Roman"/>
    </w:rPr>
  </w:style>
  <w:style w:type="paragraph" w:styleId="Footer">
    <w:name w:val="footer"/>
    <w:basedOn w:val="Normal"/>
    <w:link w:val="FooterChar"/>
    <w:uiPriority w:val="99"/>
    <w:unhideWhenUsed/>
    <w:rsid w:val="00C57394"/>
    <w:pPr>
      <w:tabs>
        <w:tab w:val="center" w:pos="4680"/>
        <w:tab w:val="right" w:pos="9360"/>
      </w:tabs>
    </w:pPr>
  </w:style>
  <w:style w:type="character" w:customStyle="1" w:styleId="FooterChar">
    <w:name w:val="Footer Char"/>
    <w:basedOn w:val="DefaultParagraphFont"/>
    <w:link w:val="Footer"/>
    <w:uiPriority w:val="99"/>
    <w:rsid w:val="00C573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~WRL0002.tmp</Template>
  <TotalTime>1</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dc:creator>
  <cp:lastModifiedBy>Carla Ward</cp:lastModifiedBy>
  <cp:revision>2</cp:revision>
  <dcterms:created xsi:type="dcterms:W3CDTF">2024-07-26T16:17:00Z</dcterms:created>
  <dcterms:modified xsi:type="dcterms:W3CDTF">2024-07-26T16:17:00Z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PrintServer170</vt:lpwstr>
  </property>
  <property fmtid="{D5CDD505-2E9C-101B-9397-08002B2CF9AE}" pid="4" name="LastSaved">
    <vt:filetime>2024-02-15T00:00:00Z</vt:filetime>
  </property>
</Properties>
</file>